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B0F7C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12643C">
        <w:rPr>
          <w:rFonts w:ascii="Times New Roman" w:hAnsi="Times New Roman"/>
          <w:b/>
          <w:sz w:val="28"/>
          <w:szCs w:val="28"/>
        </w:rPr>
        <w:t>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B0F7C">
        <w:rPr>
          <w:rFonts w:ascii="Times New Roman" w:hAnsi="Times New Roman"/>
          <w:b/>
          <w:sz w:val="28"/>
          <w:szCs w:val="28"/>
        </w:rPr>
        <w:t>29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12643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12643C" w:rsidRPr="0012643C">
        <w:rPr>
          <w:rFonts w:ascii="Times New Roman" w:hAnsi="Times New Roman"/>
          <w:b/>
          <w:sz w:val="20"/>
          <w:szCs w:val="20"/>
          <w:lang w:eastAsia="en-US"/>
        </w:rPr>
        <w:t>Демонтаж (снос) склада активной сажи на территории ОПП</w:t>
      </w:r>
      <w:r w:rsidR="0012643C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FB0F7C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0F7C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8AF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2019-05-31T08:10:00Z</dcterms:created>
  <dcterms:modified xsi:type="dcterms:W3CDTF">2019-05-31T08:10:00Z</dcterms:modified>
</cp:coreProperties>
</file>